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2024年9月29日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16聖靈與我們的心同證我們是　神的兒女．17既是兒女、便是後嗣、就是　神的後嗣、和基督同作後嗣．如果我們和他一同受苦、也必和他一同得榮耀。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羅 馬 書 8:16 -17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HOL#16       主治萬方</w:t>
      </w:r>
      <w:r>
        <w:rPr>
          <w:rFonts w:ascii="SimSun" w:hAnsi="SimSun" w:cs="新細明體"/>
        </w:rPr>
        <w:tab/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HOL#499       求主同住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主耶和華是我牧者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彼 得 前 書 2:1-9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建造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HOL#387       主是我萬有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建造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彼 得 前 書 2:1-9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喂養饑渴的靈 (1 Peter 彼得前書 2:1-3)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被建造成爲一座屬靈的殿(1 Peter 彼得前書 2:4-6)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宣揚神的美德(1 Peter 彼得前書 2:7-9)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 xml:space="preserve">1. 歡迎新來的朋友! 歡迎弟兄姊妹及朋友來參加我們的主日崇拜。 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1.感謝大家昨天來幫忙打掃教堂。願我們繼續使用教堂榮耀神。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10月11日至13日將在本教會舉行家庭與婚姻研討會，由陳若𦾡牧師主講：“欣賞你的人生伴侶”（週五晚上7:30至9:30）、“培養敬虔的下一代”（週六下午4:00至5:30）以及“鞏固家庭復興教會”（週六晚上6:30至8:00）。提供小孩看顧和週六5:30的晚餐。請於10月6日前在rochesterccc.org/fmeworkshop 報名。有任何問題請聯繫軒篁姊妹。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我們支持的傳教士家庭之一 Albert 和 Sarah Kwok 將於 10 月 18 日至 20 日的週末來訪，我們將有機會在整個週末與他們交流。更多詳情即將公布。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受洗典禮將於11月17日主日舉行。如果你願意受洗，請聯系任何牧師或執事。提交申請的截止日期為10月20日。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RCCC 和Buffalo華人基督教會聯合籃球賽將于 10 月 26 日星期六下午 3 點至 5 點在家庭生活中心舉行。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下次博愛團契將于10月12日周六11:00 AM- 1:30 PM舉行，特請陳慧華牧師（Rev. Susanna Tan）爲我們做分享，熱情邀請大家來參加。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