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September 29,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r>
        <w:rPr>
          <w:rFonts w:ascii="Times New Roman" w:hAnsi="Times New Roman" w:cs="Times New Roman"/>
          <w:b/>
          <w:bCs/>
          <w:sz w:val="20"/>
          <w:szCs w:val="20"/>
        </w:rPr>
        <w:t>建造</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r>
        <w:rPr>
          <w:rFonts w:ascii="Times New Roman" w:hAnsi="Times New Roman" w:cs="Times New Roman"/>
          <w:sz w:val="20"/>
          <w:szCs w:val="20"/>
        </w:rPr>
        <w:t>HOL#387       主是我萬有</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Pr>
          <w:rFonts w:ascii="Times New Roman" w:hAnsi="Times New Roman"/>
          <w:b/>
          <w:i w:val="0"/>
          <w:sz w:val="20"/>
          <w:szCs w:val="20"/>
        </w:rPr>
        <w:t>建造</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Pr>
          <w:rFonts w:ascii="Times New Roman" w:hAnsi="Times New Roman" w:cs="Times New Roman"/>
          <w:sz w:val="20"/>
          <w:szCs w:val="20"/>
        </w:rPr>
        <w:t>1. 喂養饑渴的靈</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2. 被建造成爲一座屬靈的殿</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3. 宣揚神的美德</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