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2024年12月8日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〔大衛的詩。〕我的心哪、你要稱頌耶和華．凡在我裏面的、也要稱頌他的聖名。2我的心哪、你要稱頌耶和華、不可忘記他的一切恩惠。3他赦免你的一切罪孽、醫治你的一切疾病。4他救贖你的命脫離死亡、以仁愛和慈悲為你的冠冕。5他用美物、使你所願的得以知足、以致你如鷹返老還童。6耶和華施行公義、為一切受屈的人伸冤。7他使摩西知道他的法則、叫以色列人曉得他的作為。8耶和華有憐憫、有恩典、不輕易發怒、且有豐盛的慈愛。9他不長久責備、也不永遠懷怒。10他沒有按我們的罪過待我們、也沒有照我們的罪孽報應我們。11天離地何等的高、他的慈愛向敬畏他的人、也是何等的大。12東離西有多遠、他叫我們的過犯、離我們也有多遠。13父親怎樣憐恤他的兒女、耶和華也怎樣憐恤敬畏他的人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詩 篇 103:1-13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HOL#98       天使報信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HOL#88       齊來崇拜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HOL#104       我們渴望的耶穌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路 加 福 音 2:8-20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牧羊人傳報好消息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報福音傳喜信的人他們的脚蹤何等佳美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牧羊人傳報好消息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路 加 福 音 2:8-20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天使報好消息給牧羊人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牧羊人在伯利恆傳報好消息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衆人的詫異、思想與讚美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今天下午 1:30-2:00 在307室有禱告會，為職場中的弟兄姐妹禱告。請弟兄姐妹們參加。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讚美主我們得以通過2025年的常費和宣教預算。願神繼續看顧我們教會，使我們能在所行的一切事上榮耀神。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今天午餐後舉行新會員歡迎會，歡迎母堂和西區今年加入的新會員。為慶祝教會的成長今天的午餐免費。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本週六12月14日11:00 AM-1:30 PM舉行博愛團契聚會，由鄧牧師分享。歡迎大家參加。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歡迎您參加 12 月 22 日 禮拜天上午 11:15的 「奇妙聖誕節」崇拜！我們將從瑪利亞、約瑟、牧羊人和博士的視角體驗聖誕故事，慶祝主耶穌的降生。青年團契成員將為這場聯合崇拜獻上音樂。當日母堂只有這一堂崇拜，沒有成人主日學和午餐。西區崇拜照常進行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12月22日母堂只有一堂聯合雙語崇拜，上午11: 15開始。當日沒有成人主日學和午餐。西區崇拜照常進行。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8. 西區將於12月24日晚7:30舉辦平安夜崇拜。歡迎大家參加。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9. 2025年的月曆在教會前廳，請每家拿一份。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